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04" w:rsidRPr="00CF5404" w:rsidRDefault="00CF5404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 xml:space="preserve">ТЕРРИТОРИАЛЬНАЯ ИЗБИРАТЕЛЬНАЯ КОМИССИЯ </w:t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>ТЕРБУНСКОГО РАЙОНА</w:t>
      </w:r>
    </w:p>
    <w:p w:rsidR="00CB1C56" w:rsidRPr="00084828" w:rsidRDefault="00CB1C56" w:rsidP="00CB1C56">
      <w:pPr>
        <w:spacing w:line="276" w:lineRule="auto"/>
        <w:jc w:val="center"/>
        <w:rPr>
          <w:i/>
          <w:sz w:val="16"/>
          <w:szCs w:val="16"/>
        </w:rPr>
      </w:pPr>
    </w:p>
    <w:p w:rsidR="00CB1C56" w:rsidRPr="00D65359" w:rsidRDefault="00CB1C56" w:rsidP="00CB1C56">
      <w:pPr>
        <w:pStyle w:val="2"/>
        <w:spacing w:line="276" w:lineRule="auto"/>
        <w:jc w:val="center"/>
        <w:rPr>
          <w:bCs/>
          <w:sz w:val="32"/>
          <w:szCs w:val="32"/>
        </w:rPr>
      </w:pPr>
      <w:r w:rsidRPr="00D65359">
        <w:rPr>
          <w:bCs/>
          <w:sz w:val="32"/>
          <w:szCs w:val="32"/>
        </w:rPr>
        <w:t>ПОСТАНОВЛЕНИЕ</w:t>
      </w:r>
    </w:p>
    <w:p w:rsidR="00CB1C56" w:rsidRDefault="00CB1C56" w:rsidP="00CB1C56">
      <w:pPr>
        <w:spacing w:line="276" w:lineRule="auto"/>
        <w:jc w:val="center"/>
        <w:rPr>
          <w:szCs w:val="24"/>
        </w:rPr>
      </w:pPr>
    </w:p>
    <w:p w:rsidR="00CB1C56" w:rsidRPr="00AC1723" w:rsidRDefault="00ED3D76" w:rsidP="00CB1C56">
      <w:pPr>
        <w:spacing w:line="276" w:lineRule="auto"/>
        <w:jc w:val="center"/>
        <w:rPr>
          <w:sz w:val="28"/>
        </w:rPr>
      </w:pPr>
      <w:r>
        <w:rPr>
          <w:sz w:val="28"/>
          <w:szCs w:val="28"/>
        </w:rPr>
        <w:t>25 июля</w:t>
      </w:r>
      <w:r w:rsidR="00CB1C56">
        <w:rPr>
          <w:sz w:val="28"/>
        </w:rPr>
        <w:t xml:space="preserve"> 2024  года                                    </w:t>
      </w:r>
      <w:r w:rsidR="0064390F">
        <w:rPr>
          <w:sz w:val="28"/>
        </w:rPr>
        <w:t xml:space="preserve">                           № 89/348</w:t>
      </w:r>
    </w:p>
    <w:p w:rsidR="00CB1C56" w:rsidRPr="00827C52" w:rsidRDefault="00CB1C56" w:rsidP="00CB1C56">
      <w:pPr>
        <w:jc w:val="both"/>
        <w:rPr>
          <w:rFonts w:ascii="Times New Roman CYR" w:hAnsi="Times New Roman CYR"/>
          <w:sz w:val="16"/>
          <w:szCs w:val="16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:rsidR="00CB1C56" w:rsidRPr="00EC76EB" w:rsidRDefault="00CB1C56" w:rsidP="00CB1C56">
      <w:pPr>
        <w:spacing w:line="276" w:lineRule="auto"/>
        <w:jc w:val="center"/>
        <w:rPr>
          <w:sz w:val="24"/>
          <w:szCs w:val="24"/>
        </w:rPr>
      </w:pPr>
      <w:r w:rsidRPr="00EC76EB">
        <w:rPr>
          <w:sz w:val="24"/>
          <w:szCs w:val="24"/>
        </w:rPr>
        <w:t>с. Тербуны</w:t>
      </w:r>
    </w:p>
    <w:p w:rsidR="00CB1C56" w:rsidRPr="00AC1723" w:rsidRDefault="00CB1C56" w:rsidP="00CB1C56">
      <w:pPr>
        <w:pStyle w:val="a3"/>
        <w:jc w:val="left"/>
        <w:rPr>
          <w:sz w:val="24"/>
          <w:szCs w:val="24"/>
        </w:rPr>
      </w:pPr>
    </w:p>
    <w:p w:rsidR="00CB1C56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  Совета депутатов сельского поселения Тербунский </w:t>
      </w:r>
      <w:r w:rsidR="00ED3D76">
        <w:rPr>
          <w:b/>
          <w:sz w:val="28"/>
        </w:rPr>
        <w:t xml:space="preserve">Второй </w:t>
      </w:r>
      <w:r>
        <w:rPr>
          <w:b/>
          <w:sz w:val="28"/>
        </w:rPr>
        <w:t xml:space="preserve">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 </w:t>
      </w:r>
    </w:p>
    <w:p w:rsidR="008D06BB" w:rsidRPr="00C52B9B" w:rsidRDefault="00ED3D76" w:rsidP="008D06BB">
      <w:pPr>
        <w:spacing w:line="276" w:lineRule="auto"/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Жиляковой Натальи Михайловны</w:t>
      </w:r>
    </w:p>
    <w:p w:rsidR="00267700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ED3D76" w:rsidRPr="00084828" w:rsidRDefault="00ED3D76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6A0C44">
      <w:pPr>
        <w:pStyle w:val="3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CB1C56" w:rsidRPr="00681560">
        <w:t>Совета депутатов сельского поселения Тербунский</w:t>
      </w:r>
      <w:r w:rsidR="00ED3D76">
        <w:t xml:space="preserve"> Второй</w:t>
      </w:r>
      <w:r w:rsidR="00CB1C56" w:rsidRPr="00681560"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t xml:space="preserve"> </w:t>
      </w:r>
      <w:r w:rsidR="00ED3D76">
        <w:t xml:space="preserve">Жиляковой Натальи Михайловны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CB1C56">
        <w:t>территориальная избирательная комиссия Тербунского района</w:t>
      </w:r>
      <w:r w:rsidR="006A0C44">
        <w:t xml:space="preserve"> установила следующее.</w:t>
      </w:r>
    </w:p>
    <w:p w:rsidR="008F4321" w:rsidRDefault="00D87D44" w:rsidP="008F4321">
      <w:pPr>
        <w:jc w:val="both"/>
        <w:rPr>
          <w:sz w:val="28"/>
          <w:szCs w:val="2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CB1C56" w:rsidRPr="00CB1C56">
        <w:rPr>
          <w:sz w:val="28"/>
          <w:szCs w:val="28"/>
        </w:rPr>
        <w:t>Совета депутатов сельского поселения Тербунский</w:t>
      </w:r>
      <w:r w:rsidR="006E5C95">
        <w:rPr>
          <w:sz w:val="28"/>
          <w:szCs w:val="28"/>
        </w:rPr>
        <w:t xml:space="preserve"> Второй </w:t>
      </w:r>
      <w:r w:rsidR="00CB1C56" w:rsidRPr="00CB1C56">
        <w:rPr>
          <w:sz w:val="28"/>
          <w:szCs w:val="28"/>
        </w:rPr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rPr>
          <w:sz w:val="28"/>
          <w:szCs w:val="28"/>
        </w:rPr>
        <w:t xml:space="preserve"> </w:t>
      </w:r>
      <w:r w:rsidR="00ED3D76">
        <w:rPr>
          <w:sz w:val="28"/>
          <w:szCs w:val="28"/>
        </w:rPr>
        <w:t>Жиляковой  Натальей Михайловной</w:t>
      </w:r>
      <w:r w:rsidR="00146D2D">
        <w:rPr>
          <w:sz w:val="28"/>
          <w:szCs w:val="28"/>
        </w:rPr>
        <w:t xml:space="preserve"> д</w:t>
      </w:r>
      <w:r w:rsidRPr="008F4321">
        <w:rPr>
          <w:sz w:val="28"/>
          <w:szCs w:val="28"/>
        </w:rPr>
        <w:t xml:space="preserve">ля регистрации были представлены </w:t>
      </w:r>
      <w:r w:rsidR="00ED3D76">
        <w:rPr>
          <w:sz w:val="28"/>
          <w:szCs w:val="28"/>
        </w:rPr>
        <w:t xml:space="preserve">14 подписей </w:t>
      </w:r>
      <w:r w:rsidRPr="008F4321">
        <w:rPr>
          <w:sz w:val="28"/>
          <w:szCs w:val="28"/>
        </w:rPr>
        <w:t xml:space="preserve"> избирателей.</w:t>
      </w:r>
    </w:p>
    <w:p w:rsidR="008F4321" w:rsidRDefault="00D87D44" w:rsidP="008F4321">
      <w:pPr>
        <w:ind w:firstLine="720"/>
        <w:jc w:val="both"/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ED3D76">
        <w:rPr>
          <w:sz w:val="28"/>
          <w:szCs w:val="28"/>
        </w:rPr>
        <w:t>14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недостоверными признаны </w:t>
      </w:r>
      <w:r w:rsidR="00ED3D76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ED3D76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 Количество достоверных подписей</w:t>
      </w:r>
      <w:r>
        <w:t xml:space="preserve"> </w:t>
      </w:r>
      <w:r w:rsidR="00ED3D76" w:rsidRPr="00ED3D76">
        <w:rPr>
          <w:sz w:val="28"/>
          <w:szCs w:val="28"/>
        </w:rPr>
        <w:t>14</w:t>
      </w:r>
      <w:r>
        <w:t>.</w:t>
      </w:r>
    </w:p>
    <w:p w:rsidR="00230539" w:rsidRDefault="00D87D44" w:rsidP="0072589A">
      <w:pPr>
        <w:ind w:firstLine="567"/>
        <w:jc w:val="both"/>
        <w:rPr>
          <w:i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72589A" w:rsidRPr="00BE1A20">
        <w:rPr>
          <w:sz w:val="28"/>
          <w:szCs w:val="28"/>
        </w:rPr>
        <w:t xml:space="preserve">постановлением избирательной комиссии Липецкой области   от </w:t>
      </w:r>
      <w:r w:rsidR="0072589A">
        <w:rPr>
          <w:sz w:val="28"/>
          <w:szCs w:val="28"/>
        </w:rPr>
        <w:t>26 апреля 2022</w:t>
      </w:r>
      <w:r w:rsidR="0072589A" w:rsidRPr="00BE1A20">
        <w:rPr>
          <w:sz w:val="28"/>
          <w:szCs w:val="28"/>
        </w:rPr>
        <w:t xml:space="preserve"> года </w:t>
      </w:r>
      <w:r w:rsidR="0072589A">
        <w:rPr>
          <w:sz w:val="28"/>
          <w:szCs w:val="28"/>
        </w:rPr>
        <w:t>№8/99-7</w:t>
      </w:r>
      <w:r w:rsidR="0072589A" w:rsidRPr="00BE1A20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72589A">
        <w:rPr>
          <w:sz w:val="28"/>
          <w:szCs w:val="28"/>
        </w:rPr>
        <w:t xml:space="preserve">Тербунском муниципальном районе </w:t>
      </w:r>
      <w:r w:rsidR="0072589A" w:rsidRPr="00BE1A20">
        <w:rPr>
          <w:sz w:val="28"/>
          <w:szCs w:val="28"/>
        </w:rPr>
        <w:t xml:space="preserve">  Липецкой  области</w:t>
      </w:r>
      <w:r w:rsidR="0072589A">
        <w:rPr>
          <w:sz w:val="28"/>
          <w:szCs w:val="28"/>
        </w:rPr>
        <w:t xml:space="preserve">» </w:t>
      </w:r>
      <w:r w:rsidR="0072589A" w:rsidRPr="00BE1A20">
        <w:rPr>
          <w:sz w:val="28"/>
          <w:szCs w:val="28"/>
        </w:rPr>
        <w:t xml:space="preserve">на территориальную избирательную комиссию </w:t>
      </w:r>
      <w:r w:rsidR="0072589A">
        <w:rPr>
          <w:sz w:val="28"/>
          <w:szCs w:val="28"/>
        </w:rPr>
        <w:t>Тербунского района</w:t>
      </w:r>
      <w:r w:rsidR="0072589A" w:rsidRPr="00BE1A20">
        <w:rPr>
          <w:sz w:val="28"/>
          <w:szCs w:val="28"/>
        </w:rPr>
        <w:t xml:space="preserve">», </w:t>
      </w:r>
      <w:r w:rsidR="0072589A" w:rsidRPr="00152605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72589A">
        <w:rPr>
          <w:bCs/>
          <w:iCs/>
          <w:sz w:val="28"/>
          <w:szCs w:val="28"/>
        </w:rPr>
        <w:t>Тербунского</w:t>
      </w:r>
      <w:r w:rsidR="0072589A" w:rsidRPr="00152605">
        <w:rPr>
          <w:bCs/>
          <w:iCs/>
          <w:sz w:val="28"/>
          <w:szCs w:val="28"/>
        </w:rPr>
        <w:t xml:space="preserve"> района от </w:t>
      </w:r>
      <w:r w:rsidR="0072589A">
        <w:rPr>
          <w:bCs/>
          <w:iCs/>
          <w:sz w:val="28"/>
          <w:szCs w:val="28"/>
        </w:rPr>
        <w:t>14 июня 2024 года  № 81/282 «</w:t>
      </w:r>
      <w:r w:rsidR="0072589A" w:rsidRPr="00152605">
        <w:rPr>
          <w:bCs/>
          <w:sz w:val="28"/>
        </w:rPr>
        <w:t xml:space="preserve">О возложении полномочий окружных избирательных комиссий по выборам депутатов </w:t>
      </w:r>
      <w:r w:rsidR="0072589A" w:rsidRPr="00327408">
        <w:rPr>
          <w:bCs/>
          <w:sz w:val="28"/>
          <w:szCs w:val="28"/>
        </w:rPr>
        <w:t xml:space="preserve">представительных органов муниципальных образований в Тербунском </w:t>
      </w:r>
      <w:r w:rsidR="0072589A" w:rsidRPr="00327408">
        <w:rPr>
          <w:bCs/>
          <w:sz w:val="28"/>
          <w:szCs w:val="28"/>
        </w:rPr>
        <w:lastRenderedPageBreak/>
        <w:t>муниципальном районе Липецкой области</w:t>
      </w:r>
      <w:r w:rsidR="0072589A">
        <w:rPr>
          <w:bCs/>
          <w:sz w:val="24"/>
          <w:szCs w:val="24"/>
        </w:rPr>
        <w:t xml:space="preserve">  </w:t>
      </w:r>
      <w:r w:rsidR="0072589A">
        <w:rPr>
          <w:rFonts w:eastAsia="Calibri"/>
          <w:sz w:val="28"/>
          <w:szCs w:val="28"/>
        </w:rPr>
        <w:t>8 сентября 2024 года»</w:t>
      </w:r>
      <w:r w:rsidR="0072589A" w:rsidRPr="00B10CC9">
        <w:rPr>
          <w:bCs/>
          <w:i/>
          <w:iCs/>
          <w:sz w:val="28"/>
          <w:szCs w:val="28"/>
        </w:rPr>
        <w:t xml:space="preserve">, </w:t>
      </w:r>
      <w:r w:rsidR="0072589A" w:rsidRPr="00B10CC9">
        <w:rPr>
          <w:sz w:val="28"/>
          <w:szCs w:val="28"/>
        </w:rPr>
        <w:t>территориальная избирательная комиссия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804EB3">
        <w:rPr>
          <w:bCs/>
          <w:iCs/>
          <w:sz w:val="28"/>
          <w:szCs w:val="28"/>
        </w:rPr>
        <w:t>Тербунского района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B10CC9">
        <w:rPr>
          <w:b/>
          <w:sz w:val="28"/>
          <w:szCs w:val="28"/>
        </w:rPr>
        <w:t>постановляет</w:t>
      </w:r>
      <w:r w:rsidR="0072589A" w:rsidRPr="00B10CC9">
        <w:rPr>
          <w:sz w:val="28"/>
          <w:szCs w:val="28"/>
        </w:rPr>
        <w:t>:</w:t>
      </w:r>
      <w:r w:rsidR="00230539" w:rsidRPr="00230539">
        <w:rPr>
          <w:i/>
        </w:rPr>
        <w:t xml:space="preserve">                           </w:t>
      </w:r>
      <w:bookmarkEnd w:id="0"/>
    </w:p>
    <w:p w:rsidR="00230539" w:rsidRPr="00230539" w:rsidRDefault="00230539" w:rsidP="00230539">
      <w:pPr>
        <w:autoSpaceDE w:val="0"/>
        <w:autoSpaceDN w:val="0"/>
        <w:adjustRightInd w:val="0"/>
        <w:jc w:val="both"/>
        <w:rPr>
          <w:i/>
        </w:rPr>
      </w:pPr>
    </w:p>
    <w:bookmarkEnd w:id="1"/>
    <w:p w:rsidR="001F3811" w:rsidRDefault="006D5DD5" w:rsidP="0072589A">
      <w:pPr>
        <w:ind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DD0C4D" w:rsidRPr="00230539">
        <w:rPr>
          <w:sz w:val="28"/>
          <w:szCs w:val="28"/>
        </w:rPr>
        <w:t xml:space="preserve">Зарегистрировать </w:t>
      </w:r>
      <w:r w:rsidR="002055AA" w:rsidRPr="00230539">
        <w:rPr>
          <w:sz w:val="28"/>
          <w:szCs w:val="28"/>
        </w:rPr>
        <w:t xml:space="preserve">кандидатом </w:t>
      </w:r>
      <w:r w:rsidR="00084828" w:rsidRPr="00230539">
        <w:rPr>
          <w:sz w:val="28"/>
          <w:szCs w:val="28"/>
        </w:rPr>
        <w:t xml:space="preserve">в депутаты </w:t>
      </w:r>
      <w:r w:rsidR="0072589A" w:rsidRPr="0072589A">
        <w:rPr>
          <w:sz w:val="28"/>
          <w:szCs w:val="28"/>
        </w:rPr>
        <w:t>Совета депутатов сельского поселения Тербунский</w:t>
      </w:r>
      <w:r w:rsidR="006E5C95">
        <w:rPr>
          <w:sz w:val="28"/>
          <w:szCs w:val="28"/>
        </w:rPr>
        <w:t xml:space="preserve"> Второй </w:t>
      </w:r>
      <w:r w:rsidR="0072589A" w:rsidRPr="0072589A">
        <w:rPr>
          <w:sz w:val="28"/>
          <w:szCs w:val="28"/>
        </w:rPr>
        <w:t>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72589A">
        <w:rPr>
          <w:sz w:val="28"/>
        </w:rPr>
        <w:t xml:space="preserve"> </w:t>
      </w:r>
    </w:p>
    <w:p w:rsidR="0072589A" w:rsidRDefault="0072589A" w:rsidP="0072589A">
      <w:pPr>
        <w:pStyle w:val="a5"/>
        <w:spacing w:line="276" w:lineRule="auto"/>
        <w:ind w:left="567"/>
        <w:jc w:val="center"/>
        <w:rPr>
          <w:b/>
          <w:highlight w:val="yellow"/>
        </w:rPr>
      </w:pPr>
    </w:p>
    <w:p w:rsidR="0072589A" w:rsidRDefault="00ED3D76" w:rsidP="0072589A">
      <w:pPr>
        <w:pStyle w:val="a5"/>
        <w:spacing w:line="276" w:lineRule="auto"/>
        <w:ind w:left="567"/>
        <w:jc w:val="center"/>
        <w:rPr>
          <w:b/>
        </w:rPr>
      </w:pPr>
      <w:r>
        <w:rPr>
          <w:b/>
        </w:rPr>
        <w:t>Жилякову Наталью Михайловну</w:t>
      </w:r>
    </w:p>
    <w:p w:rsidR="0072589A" w:rsidRPr="00297CB1" w:rsidRDefault="0072589A" w:rsidP="0072589A">
      <w:pPr>
        <w:pStyle w:val="a5"/>
        <w:spacing w:line="276" w:lineRule="auto"/>
        <w:ind w:left="567"/>
        <w:jc w:val="center"/>
        <w:rPr>
          <w:b/>
        </w:rPr>
      </w:pPr>
    </w:p>
    <w:tbl>
      <w:tblPr>
        <w:tblStyle w:val="af"/>
        <w:tblW w:w="0" w:type="auto"/>
        <w:tblLook w:val="04A0"/>
      </w:tblPr>
      <w:tblGrid>
        <w:gridCol w:w="3227"/>
        <w:gridCol w:w="6343"/>
      </w:tblGrid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Дата рождения</w:t>
            </w:r>
          </w:p>
        </w:tc>
        <w:tc>
          <w:tcPr>
            <w:tcW w:w="6343" w:type="dxa"/>
          </w:tcPr>
          <w:p w:rsidR="0072589A" w:rsidRPr="008404ED" w:rsidRDefault="008404ED" w:rsidP="00146D2D">
            <w:pPr>
              <w:pStyle w:val="a5"/>
              <w:rPr>
                <w:sz w:val="24"/>
                <w:szCs w:val="24"/>
              </w:rPr>
            </w:pPr>
            <w:r w:rsidRPr="008404ED">
              <w:rPr>
                <w:sz w:val="24"/>
                <w:szCs w:val="24"/>
              </w:rPr>
              <w:t>05.10.1973 г.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Место рождения</w:t>
            </w:r>
          </w:p>
        </w:tc>
        <w:tc>
          <w:tcPr>
            <w:tcW w:w="6343" w:type="dxa"/>
          </w:tcPr>
          <w:p w:rsidR="0072589A" w:rsidRPr="008404ED" w:rsidRDefault="008404E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404ED">
              <w:rPr>
                <w:sz w:val="24"/>
                <w:szCs w:val="24"/>
              </w:rPr>
              <w:t>ело Ратчино Добровский район Липецкая область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 xml:space="preserve">Место жительства 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16"/>
                <w:szCs w:val="16"/>
              </w:rPr>
              <w:t>(указать наименование субъекта, района, города, иного населенного пункта)</w:t>
            </w:r>
          </w:p>
        </w:tc>
        <w:tc>
          <w:tcPr>
            <w:tcW w:w="6343" w:type="dxa"/>
          </w:tcPr>
          <w:p w:rsidR="0072589A" w:rsidRPr="008404ED" w:rsidRDefault="008404E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Липецка</w:t>
            </w:r>
            <w:r w:rsidR="00146D2D">
              <w:rPr>
                <w:sz w:val="24"/>
                <w:szCs w:val="24"/>
              </w:rPr>
              <w:t>я область, Тербунский район, село Яковлево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Гражданство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6343" w:type="dxa"/>
          </w:tcPr>
          <w:p w:rsidR="0072589A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Сведения о профессиональном образовании</w:t>
            </w:r>
          </w:p>
        </w:tc>
        <w:tc>
          <w:tcPr>
            <w:tcW w:w="6343" w:type="dxa"/>
          </w:tcPr>
          <w:p w:rsidR="0072589A" w:rsidRPr="008404ED" w:rsidRDefault="0072589A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20"/>
              </w:rPr>
              <w:t>Основное место работы или службы, занимаемая должность</w:t>
            </w:r>
            <w:r w:rsidRPr="00804EB3">
              <w:rPr>
                <w:i/>
                <w:sz w:val="24"/>
                <w:szCs w:val="24"/>
              </w:rPr>
              <w:t xml:space="preserve"> </w:t>
            </w:r>
            <w:r w:rsidRPr="00297CB1">
              <w:rPr>
                <w:i/>
                <w:sz w:val="16"/>
                <w:szCs w:val="16"/>
              </w:rPr>
              <w:t>(при их отсутствии - род занятий),</w:t>
            </w:r>
          </w:p>
        </w:tc>
        <w:tc>
          <w:tcPr>
            <w:tcW w:w="6343" w:type="dxa"/>
          </w:tcPr>
          <w:p w:rsidR="0072589A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ГУЗ «Тербунская центральная больница», </w:t>
            </w:r>
          </w:p>
          <w:p w:rsidR="00146D2D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уборщик служебных помещений Яковлевского ФАП</w:t>
            </w:r>
          </w:p>
        </w:tc>
      </w:tr>
      <w:tr w:rsidR="0072589A" w:rsidTr="00F70CCC">
        <w:trPr>
          <w:trHeight w:val="1731"/>
        </w:trPr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об исполнении обязанностей депутата на непостоянной основе, наименование соответствующего представительного органа</w:t>
            </w:r>
          </w:p>
        </w:tc>
        <w:tc>
          <w:tcPr>
            <w:tcW w:w="6343" w:type="dxa"/>
          </w:tcPr>
          <w:p w:rsidR="0072589A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Совета депутатов сельского поселения Тербунский Второй сельсовет Тербунского муниципального района Липецкой области Российской Федерации третьего созыва, исполняет обязанности депутата на непостоянной основе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 о принадлежности кандидата к политической партии либо не более чем к одному общественному объединению,</w:t>
            </w:r>
          </w:p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статус в этой политической партии, этом общественном объединении</w:t>
            </w:r>
          </w:p>
        </w:tc>
        <w:tc>
          <w:tcPr>
            <w:tcW w:w="6343" w:type="dxa"/>
          </w:tcPr>
          <w:p w:rsidR="0072589A" w:rsidRPr="008404ED" w:rsidRDefault="0072589A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 судимости кандидата</w:t>
            </w:r>
          </w:p>
        </w:tc>
        <w:tc>
          <w:tcPr>
            <w:tcW w:w="6343" w:type="dxa"/>
          </w:tcPr>
          <w:p w:rsidR="0072589A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судима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iCs/>
                <w:sz w:val="20"/>
              </w:rPr>
            </w:pPr>
            <w:r w:rsidRPr="00297CB1">
              <w:rPr>
                <w:i/>
                <w:iCs/>
                <w:sz w:val="20"/>
              </w:rPr>
              <w:t>Сведения о том, что кандидат является иностранным агентом, либо кандидатом, аффилированным с иностранным агентом)</w:t>
            </w:r>
          </w:p>
        </w:tc>
        <w:tc>
          <w:tcPr>
            <w:tcW w:w="6343" w:type="dxa"/>
          </w:tcPr>
          <w:p w:rsidR="0072589A" w:rsidRPr="008404ED" w:rsidRDefault="0072589A" w:rsidP="00146D2D">
            <w:pPr>
              <w:pStyle w:val="a5"/>
              <w:rPr>
                <w:sz w:val="24"/>
                <w:szCs w:val="24"/>
              </w:rPr>
            </w:pPr>
          </w:p>
        </w:tc>
      </w:tr>
    </w:tbl>
    <w:p w:rsidR="0072589A" w:rsidRPr="00802E6D" w:rsidRDefault="0072589A" w:rsidP="0072589A">
      <w:pPr>
        <w:ind w:firstLine="720"/>
        <w:jc w:val="both"/>
        <w:rPr>
          <w:i/>
          <w:iCs/>
          <w:sz w:val="16"/>
          <w:szCs w:val="16"/>
        </w:rPr>
      </w:pPr>
    </w:p>
    <w:p w:rsidR="00146D2D" w:rsidRDefault="00146D2D" w:rsidP="00146D2D">
      <w:pPr>
        <w:pStyle w:val="a5"/>
        <w:spacing w:line="276" w:lineRule="auto"/>
      </w:pPr>
    </w:p>
    <w:p w:rsidR="004B3295" w:rsidRDefault="002055AA" w:rsidP="004B3295">
      <w:pPr>
        <w:pStyle w:val="a5"/>
        <w:spacing w:line="276" w:lineRule="auto"/>
        <w:ind w:firstLine="567"/>
      </w:pPr>
      <w:r>
        <w:t xml:space="preserve">выдвинутого </w:t>
      </w:r>
      <w:r w:rsidR="0072589A">
        <w:t>в порядке самовыдвижения</w:t>
      </w:r>
      <w:r w:rsidR="00146D2D">
        <w:t xml:space="preserve">     </w:t>
      </w:r>
    </w:p>
    <w:p w:rsidR="00802E6D" w:rsidRDefault="0064390F" w:rsidP="004B3295">
      <w:pPr>
        <w:pStyle w:val="a5"/>
        <w:spacing w:line="276" w:lineRule="auto"/>
        <w:ind w:firstLine="567"/>
        <w:rPr>
          <w:rFonts w:ascii="Times New Roman CYR" w:hAnsi="Times New Roman CYR"/>
        </w:rPr>
      </w:pPr>
      <w:r>
        <w:t>25 июля  2024</w:t>
      </w:r>
      <w:r w:rsidR="00976799">
        <w:t xml:space="preserve"> года   </w:t>
      </w:r>
      <w:r w:rsidR="00B75864">
        <w:t>в</w:t>
      </w:r>
      <w:r w:rsidR="00976799">
        <w:t xml:space="preserve">   </w:t>
      </w:r>
      <w:r>
        <w:rPr>
          <w:rFonts w:ascii="Times New Roman CYR" w:hAnsi="Times New Roman CYR"/>
        </w:rPr>
        <w:t>15</w:t>
      </w:r>
      <w:r w:rsidR="00976799">
        <w:rPr>
          <w:rFonts w:ascii="Times New Roman CYR" w:hAnsi="Times New Roman CYR"/>
        </w:rPr>
        <w:t xml:space="preserve"> часов </w:t>
      </w:r>
      <w:r>
        <w:rPr>
          <w:rFonts w:ascii="Times New Roman CYR" w:hAnsi="Times New Roman CYR"/>
        </w:rPr>
        <w:t xml:space="preserve">40 </w:t>
      </w:r>
      <w:r w:rsidR="00976799">
        <w:rPr>
          <w:rFonts w:ascii="Times New Roman CYR" w:hAnsi="Times New Roman CYR"/>
        </w:rPr>
        <w:t xml:space="preserve"> минут.</w:t>
      </w:r>
    </w:p>
    <w:p w:rsidR="00146D2D" w:rsidRDefault="00146D2D" w:rsidP="00146D2D">
      <w:pPr>
        <w:pStyle w:val="a5"/>
        <w:spacing w:line="276" w:lineRule="auto"/>
      </w:pPr>
    </w:p>
    <w:p w:rsidR="00DD0C4D" w:rsidRDefault="006D5DD5" w:rsidP="00146D2D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</w:t>
      </w:r>
      <w:r w:rsidR="0031449A" w:rsidRPr="006D5DD5">
        <w:rPr>
          <w:sz w:val="28"/>
        </w:rPr>
        <w:t xml:space="preserve">Выдать зарегистрированному кандидату </w:t>
      </w:r>
      <w:r w:rsidR="00146D2D">
        <w:rPr>
          <w:sz w:val="28"/>
        </w:rPr>
        <w:t>Жиляковой Наталье  Михайловне</w:t>
      </w:r>
      <w:r w:rsidR="002055AA" w:rsidRPr="006D5DD5">
        <w:rPr>
          <w:sz w:val="28"/>
        </w:rPr>
        <w:t xml:space="preserve"> </w:t>
      </w:r>
      <w:r w:rsidR="009A36B7">
        <w:rPr>
          <w:i/>
          <w:sz w:val="16"/>
          <w:szCs w:val="16"/>
        </w:rPr>
        <w:t xml:space="preserve">  </w:t>
      </w:r>
      <w:r w:rsidR="00D7472E">
        <w:rPr>
          <w:i/>
          <w:sz w:val="16"/>
          <w:szCs w:val="16"/>
        </w:rPr>
        <w:t xml:space="preserve">    </w:t>
      </w:r>
      <w:r w:rsidR="00484D1B">
        <w:rPr>
          <w:i/>
          <w:sz w:val="16"/>
          <w:szCs w:val="16"/>
        </w:rPr>
        <w:t xml:space="preserve"> </w:t>
      </w:r>
      <w:r w:rsidR="0031449A"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146D2D" w:rsidRDefault="00146D2D" w:rsidP="00146D2D">
      <w:pPr>
        <w:spacing w:line="276" w:lineRule="auto"/>
        <w:ind w:firstLine="720"/>
        <w:jc w:val="both"/>
        <w:rPr>
          <w:sz w:val="28"/>
        </w:rPr>
      </w:pP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72589A">
        <w:rPr>
          <w:sz w:val="28"/>
        </w:rPr>
        <w:t>Тербунского</w:t>
      </w:r>
      <w:r w:rsidR="006A0C44">
        <w:rPr>
          <w:sz w:val="28"/>
        </w:rPr>
        <w:t xml:space="preserve"> района</w:t>
      </w:r>
      <w:r w:rsidR="00484D1B">
        <w:rPr>
          <w:sz w:val="28"/>
        </w:rPr>
        <w:t xml:space="preserve"> 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72589A">
        <w:rPr>
          <w:sz w:val="28"/>
        </w:rPr>
        <w:t>Маяк</w:t>
      </w:r>
      <w:r>
        <w:rPr>
          <w:sz w:val="28"/>
        </w:rPr>
        <w:t>».</w:t>
      </w:r>
    </w:p>
    <w:p w:rsidR="00802E6D" w:rsidRDefault="00802E6D">
      <w:pPr>
        <w:pStyle w:val="1"/>
        <w:rPr>
          <w:sz w:val="22"/>
        </w:rPr>
      </w:pPr>
    </w:p>
    <w:p w:rsidR="0072589A" w:rsidRPr="0072589A" w:rsidRDefault="0072589A" w:rsidP="0072589A"/>
    <w:p w:rsidR="0072589A" w:rsidRPr="0072589A" w:rsidRDefault="0072589A" w:rsidP="0072589A"/>
    <w:tbl>
      <w:tblPr>
        <w:tblW w:w="5000" w:type="pct"/>
        <w:tblLook w:val="04A0"/>
      </w:tblPr>
      <w:tblGrid>
        <w:gridCol w:w="7072"/>
        <w:gridCol w:w="2642"/>
      </w:tblGrid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tabs>
                <w:tab w:val="left" w:pos="660"/>
                <w:tab w:val="center" w:pos="3375"/>
              </w:tabs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  С.В. ТКАЧЕВ</w:t>
            </w:r>
          </w:p>
        </w:tc>
      </w:tr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jc w:val="both"/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И.Г. СМИРНОВА</w:t>
            </w:r>
          </w:p>
        </w:tc>
      </w:tr>
    </w:tbl>
    <w:p w:rsidR="001F3811" w:rsidRDefault="001F3811" w:rsidP="0072589A">
      <w:pPr>
        <w:jc w:val="both"/>
      </w:pPr>
    </w:p>
    <w:sectPr w:rsidR="001F3811" w:rsidSect="00230539">
      <w:headerReference w:type="default" r:id="rId8"/>
      <w:pgSz w:w="11906" w:h="16838"/>
      <w:pgMar w:top="709" w:right="707" w:bottom="113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A3C" w:rsidRDefault="00F64A3C">
      <w:r>
        <w:separator/>
      </w:r>
    </w:p>
  </w:endnote>
  <w:endnote w:type="continuationSeparator" w:id="0">
    <w:p w:rsidR="00F64A3C" w:rsidRDefault="00F64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A3C" w:rsidRDefault="00F64A3C">
      <w:r>
        <w:separator/>
      </w:r>
    </w:p>
  </w:footnote>
  <w:footnote w:type="continuationSeparator" w:id="0">
    <w:p w:rsidR="00F64A3C" w:rsidRDefault="00F64A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0730131"/>
      <w:docPartObj>
        <w:docPartGallery w:val="Page Numbers (Top of Page)"/>
        <w:docPartUnique/>
      </w:docPartObj>
    </w:sdtPr>
    <w:sdtContent>
      <w:p w:rsidR="00895704" w:rsidRDefault="00246C5A">
        <w:pPr>
          <w:pStyle w:val="aa"/>
          <w:jc w:val="center"/>
        </w:pPr>
        <w:r>
          <w:fldChar w:fldCharType="begin"/>
        </w:r>
        <w:r w:rsidR="00895704">
          <w:instrText>PAGE   \* MERGEFORMAT</w:instrText>
        </w:r>
        <w:r>
          <w:fldChar w:fldCharType="separate"/>
        </w:r>
        <w:r w:rsidR="006E5C95">
          <w:rPr>
            <w:noProof/>
          </w:rPr>
          <w:t>2</w:t>
        </w:r>
        <w:r>
          <w:fldChar w:fldCharType="end"/>
        </w:r>
      </w:p>
    </w:sdtContent>
  </w:sdt>
  <w:p w:rsidR="00895704" w:rsidRDefault="0089570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30CC9"/>
    <w:rsid w:val="00045789"/>
    <w:rsid w:val="00052ED0"/>
    <w:rsid w:val="00054A51"/>
    <w:rsid w:val="00054A87"/>
    <w:rsid w:val="00061FBB"/>
    <w:rsid w:val="00084828"/>
    <w:rsid w:val="000B373A"/>
    <w:rsid w:val="000D6B95"/>
    <w:rsid w:val="000D73DD"/>
    <w:rsid w:val="000E3D19"/>
    <w:rsid w:val="001138D2"/>
    <w:rsid w:val="00130A76"/>
    <w:rsid w:val="00146D2D"/>
    <w:rsid w:val="001667F9"/>
    <w:rsid w:val="0017328D"/>
    <w:rsid w:val="00195ECB"/>
    <w:rsid w:val="001C7ACE"/>
    <w:rsid w:val="001D6FAB"/>
    <w:rsid w:val="001F3811"/>
    <w:rsid w:val="0020272F"/>
    <w:rsid w:val="002055AA"/>
    <w:rsid w:val="00230539"/>
    <w:rsid w:val="00237C45"/>
    <w:rsid w:val="00246C5A"/>
    <w:rsid w:val="0025407F"/>
    <w:rsid w:val="00257E5F"/>
    <w:rsid w:val="00260D0B"/>
    <w:rsid w:val="00267700"/>
    <w:rsid w:val="00304AFE"/>
    <w:rsid w:val="0031449A"/>
    <w:rsid w:val="00323B54"/>
    <w:rsid w:val="00324A86"/>
    <w:rsid w:val="003303F0"/>
    <w:rsid w:val="003425D2"/>
    <w:rsid w:val="00375067"/>
    <w:rsid w:val="00376D2B"/>
    <w:rsid w:val="00390121"/>
    <w:rsid w:val="003B1286"/>
    <w:rsid w:val="003C4880"/>
    <w:rsid w:val="003C60B4"/>
    <w:rsid w:val="00426749"/>
    <w:rsid w:val="00444ACD"/>
    <w:rsid w:val="0045321C"/>
    <w:rsid w:val="004660AC"/>
    <w:rsid w:val="00482482"/>
    <w:rsid w:val="00484D1B"/>
    <w:rsid w:val="00495A9B"/>
    <w:rsid w:val="004B3295"/>
    <w:rsid w:val="004D34C3"/>
    <w:rsid w:val="0050504B"/>
    <w:rsid w:val="00505545"/>
    <w:rsid w:val="00513F9B"/>
    <w:rsid w:val="005B0938"/>
    <w:rsid w:val="005B6099"/>
    <w:rsid w:val="0062067E"/>
    <w:rsid w:val="0064390F"/>
    <w:rsid w:val="00650B4C"/>
    <w:rsid w:val="0069282F"/>
    <w:rsid w:val="006A0389"/>
    <w:rsid w:val="006A0C44"/>
    <w:rsid w:val="006D1379"/>
    <w:rsid w:val="006D5DD5"/>
    <w:rsid w:val="006E5C95"/>
    <w:rsid w:val="0072257B"/>
    <w:rsid w:val="0072589A"/>
    <w:rsid w:val="00754FE5"/>
    <w:rsid w:val="007906F2"/>
    <w:rsid w:val="007924D7"/>
    <w:rsid w:val="00797046"/>
    <w:rsid w:val="007F5A29"/>
    <w:rsid w:val="00802E6D"/>
    <w:rsid w:val="008259ED"/>
    <w:rsid w:val="008404ED"/>
    <w:rsid w:val="008439EF"/>
    <w:rsid w:val="00895704"/>
    <w:rsid w:val="008D06BB"/>
    <w:rsid w:val="008F4321"/>
    <w:rsid w:val="00947F3C"/>
    <w:rsid w:val="00976799"/>
    <w:rsid w:val="00985B9D"/>
    <w:rsid w:val="009A36B7"/>
    <w:rsid w:val="00A07665"/>
    <w:rsid w:val="00A14925"/>
    <w:rsid w:val="00A23C5A"/>
    <w:rsid w:val="00A372DB"/>
    <w:rsid w:val="00A62149"/>
    <w:rsid w:val="00AB65C3"/>
    <w:rsid w:val="00AB7181"/>
    <w:rsid w:val="00AC1723"/>
    <w:rsid w:val="00AD1126"/>
    <w:rsid w:val="00AE3EFE"/>
    <w:rsid w:val="00B2181E"/>
    <w:rsid w:val="00B2777C"/>
    <w:rsid w:val="00B41585"/>
    <w:rsid w:val="00B61ED6"/>
    <w:rsid w:val="00B64225"/>
    <w:rsid w:val="00B66570"/>
    <w:rsid w:val="00B744F3"/>
    <w:rsid w:val="00B75864"/>
    <w:rsid w:val="00B83CBB"/>
    <w:rsid w:val="00C035C7"/>
    <w:rsid w:val="00C2637D"/>
    <w:rsid w:val="00C52B9B"/>
    <w:rsid w:val="00C6064F"/>
    <w:rsid w:val="00C91772"/>
    <w:rsid w:val="00CA43E8"/>
    <w:rsid w:val="00CB1C56"/>
    <w:rsid w:val="00CD5ED0"/>
    <w:rsid w:val="00CD659C"/>
    <w:rsid w:val="00CE2BBD"/>
    <w:rsid w:val="00CF5404"/>
    <w:rsid w:val="00CF6F52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0778"/>
    <w:rsid w:val="00E15FB0"/>
    <w:rsid w:val="00E35B72"/>
    <w:rsid w:val="00EA1072"/>
    <w:rsid w:val="00EB25BE"/>
    <w:rsid w:val="00ED3D76"/>
    <w:rsid w:val="00EF05CC"/>
    <w:rsid w:val="00EF4484"/>
    <w:rsid w:val="00F23570"/>
    <w:rsid w:val="00F4375A"/>
    <w:rsid w:val="00F47960"/>
    <w:rsid w:val="00F64A3C"/>
    <w:rsid w:val="00F652B3"/>
    <w:rsid w:val="00FA363E"/>
    <w:rsid w:val="00FA415A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3C"/>
  </w:style>
  <w:style w:type="paragraph" w:styleId="1">
    <w:name w:val="heading 1"/>
    <w:basedOn w:val="a"/>
    <w:next w:val="a"/>
    <w:qFormat/>
    <w:rsid w:val="00947F3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47F3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47F3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7F3C"/>
    <w:pPr>
      <w:jc w:val="center"/>
    </w:pPr>
    <w:rPr>
      <w:b/>
      <w:sz w:val="28"/>
    </w:rPr>
  </w:style>
  <w:style w:type="paragraph" w:styleId="20">
    <w:name w:val="Body Text 2"/>
    <w:basedOn w:val="a"/>
    <w:rsid w:val="00947F3C"/>
    <w:pPr>
      <w:jc w:val="both"/>
    </w:pPr>
    <w:rPr>
      <w:sz w:val="28"/>
    </w:rPr>
  </w:style>
  <w:style w:type="paragraph" w:styleId="a4">
    <w:name w:val="Subtitle"/>
    <w:basedOn w:val="a"/>
    <w:qFormat/>
    <w:rsid w:val="00947F3C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947F3C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List Paragraph"/>
    <w:basedOn w:val="a"/>
    <w:uiPriority w:val="34"/>
    <w:qFormat/>
    <w:rsid w:val="00484D1B"/>
    <w:pPr>
      <w:ind w:left="720"/>
      <w:contextualSpacing/>
    </w:pPr>
  </w:style>
  <w:style w:type="table" w:styleId="af">
    <w:name w:val="Table Grid"/>
    <w:basedOn w:val="a1"/>
    <w:uiPriority w:val="59"/>
    <w:rsid w:val="007258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D808E-287A-4A22-B124-7D6BEAD6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21</cp:revision>
  <cp:lastPrinted>2024-07-26T06:45:00Z</cp:lastPrinted>
  <dcterms:created xsi:type="dcterms:W3CDTF">2018-07-13T09:26:00Z</dcterms:created>
  <dcterms:modified xsi:type="dcterms:W3CDTF">2024-07-26T06:45:00Z</dcterms:modified>
</cp:coreProperties>
</file>